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129</w:t>
      </w:r>
    </w:p>
    <w:p>
      <w:r>
        <w:t>Bundesgericht (BGE), 1983-06-28, DE</w:t>
      </w:r>
    </w:p>
    <w:p>
      <w:r>
        <w:rPr>
          <w:b/>
        </w:rPr>
        <w:t xml:space="preserve">Quelle: </w:t>
      </w:r>
      <w:r>
        <w:t>https://mcp.opencaselaw.ch/entscheid/bge_109 IV 129</w:t>
      </w:r>
    </w:p>
    <w:p>
      <w:r>
        <w:t>FR: ATF 109 IV 129</w:t>
      </w:r>
    </w:p>
    <w:p>
      <w:r>
        <w:t>IT: DTF 109 IV 129</w:t>
      </w:r>
    </w:p>
    <w:p>
      <w:pPr>
        <w:pStyle w:val="Heading2"/>
      </w:pPr>
      <w:r>
        <w:t>Regeste</w:t>
      </w:r>
    </w:p>
    <w:p>
      <w:r>
        <w:t>Regeste Art. 262 Ziff. 1 Abs. 1 StGB; Störung des Totenfriedens. Verunehrung der Ruhestätte eines Toten in roher Weise.</w:t>
      </w:r>
    </w:p>
    <w:p>
      <w:pPr>
        <w:pStyle w:val="Heading2"/>
      </w:pPr>
      <w:r>
        <w:t>Erwägungen</w:t>
      </w:r>
    </w:p>
    <w:p>
      <w:r>
        <w:rPr>
          <w:b/>
        </w:rPr>
        <w:t>E. 1</w:t>
      </w:r>
    </w:p>
    <w:p>
      <w:r>
        <w:t>Gemäss Art. 262 Ziff. 1 Abs. 1 StGB wird mit Gefängnis oder Busse bestraft, wer die Ruhestätte eines Toten in roher Weise verunehrt. Die Tathandlung wird wie in Art. 261 Abs. 1 und 3 StGB mit Verunehren (profaner, profanare) umschrieben. Davon BGE 109 IV 129 S. 130 erfasst werden Angriffshandlungen, wie etwa das Zerstören und Beschädigen, eventuell auch das Verunreinigen von Gräbern, Grabsteinen und Urnen, aber auch das Verüben von beschimpfendem Unfug auf einem Friedhof (HAFTER, Besonderer Teil II, S. 470; THORMANN/VON OVERBECK, N 5 zu Art. 262 StGB , N 14 zu Art. 261 StGB ; STRATENWERTH, Besonderer Teil II, S. 213, 215). Der Täter muss überdies in roher Weise gehandelt haben. Diese Wendung bezieht sich auf das äussere Benehmen und Vorgehen des Täters, nicht aber auf dessen Beweggründe oder Gesinnung (vgl. BGE 86 IV 23 E. 4 zum Ausdruck "in gemeiner Weise"). Bestraft werden soll somit nicht jeder Unfug auf einem Friedhof (vgl. Prot. II. ExpKomm. Bd. 4 S. 345), sondern nur der erhebliche und brutale Angriff auf das Pietätsgefühl (THORMANN/VON OVERBECK, N 5 zu Art. 262 StGB ; STRATENWERTH, a.a.O. S. 215). Als Beispiele erwähnen THORMANN/VON OVERBECK das rücksichtslose Ausgraben von Leichen oder die krasse Verunstaltung des Grabschmuckes.</w:t>
      </w:r>
    </w:p>
    <w:p>
      <w:r>
        <w:rPr>
          <w:b/>
        </w:rPr>
        <w:t>E. 2</w:t>
      </w:r>
    </w:p>
    <w:p>
      <w:r>
        <w:t>Der Kantonsgerichtsausschuss verneinte die Erfüllung des gesetzlichen Tatbestandes in objektiver Hinsicht, da keine erhebliche Störung des Totenfriedens gegeben sei; daneben bezweifelte er den Vorsatz des V., das Pietätsgefühl zu verletzen, da der nachts den Friedhof aufsuchende junge Erwachsene jeweils unter dem Eindruck von zuvor gesehenen Horrorfilmen über auferstandene Tote und dergleichen stand, sich vergewissern wollte, ob sich das eben Gesehene auch in Wirklichkeit ereigne und sich auch gleichzeitig zu beweisen versuchte, dass er sich trotz des Erlebten nachts auf den Friedhof "getraue".</w:t>
      </w:r>
    </w:p>
    <w:p>
      <w:r>
        <w:rPr>
          <w:b/>
        </w:rPr>
        <w:t>E. 3</w:t>
      </w:r>
    </w:p>
    <w:p>
      <w:r>
        <w:t>Im vorliegenden Fall sind die Merkmale des Art. 262 Ziff. 1 Abs. 1 StGB objektiv nicht erfüllt. Nach den kantonalen Akten hat V. im einzelnen eine Grabplatte nach hinten gekippt und eine weitere vom Sockel gehoben und aufgerichtet. Ein Holzkreuz hat er auf einem fremden Grab wieder "eingesetzt". Bei diesen und in zwei weiteren, ähnlich gelagerten Fällen hat er keinen Schaden verursacht. Daneben hat er ein Kreuz weggenommen, welches "ohne grosse Schwierigkeiten" vom Stein entfernt werden konnte. Schliesslich behändigte er eine Blumenschale und einen Blumenstrauss. Diese Handlungen stellen keine grobe Verletzung des Pietätsgefühls dar und verunehren daher nicht in geradezu roher Weise die Ruhestätte der Toten. Die Vorinstanz hat V. demnach schon aus objektiven Gründen zu Recht von der Anklage der Störung des Totenfriedens freigesprochen.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